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6F1" w:rsidRDefault="00D246F1" w:rsidP="003D5DBF">
      <w:pPr>
        <w:jc w:val="center"/>
      </w:pPr>
    </w:p>
    <w:p w:rsidR="00C42A75" w:rsidRDefault="00C42A75" w:rsidP="003D5DBF">
      <w:pPr>
        <w:jc w:val="center"/>
      </w:pPr>
    </w:p>
    <w:p w:rsidR="00C42A75" w:rsidRDefault="00C42A75" w:rsidP="003D5DBF">
      <w:pPr>
        <w:jc w:val="center"/>
      </w:pPr>
    </w:p>
    <w:tbl>
      <w:tblPr>
        <w:tblW w:w="11960" w:type="dxa"/>
        <w:tblInd w:w="6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ECONOMICA (POR TIPO DE GASTO)</w:t>
            </w:r>
          </w:p>
        </w:tc>
      </w:tr>
      <w:tr w:rsidR="004D4EF0" w:rsidRPr="004D4EF0" w:rsidTr="004D4EF0">
        <w:trPr>
          <w:trHeight w:val="300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 CORRIENTE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17,709,260,903.92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554,391,520.68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18,263,652,424.60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4,122,373,384.73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4,122,318,384.73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14,141,279,039.87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 DE CAPITAL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954,790,571.18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-8,142,863.69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946,647,707.49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940,696,142.80</w:t>
            </w:r>
          </w:p>
        </w:tc>
      </w:tr>
      <w:tr w:rsidR="004D4EF0" w:rsidRPr="004D4EF0" w:rsidTr="004D4EF0">
        <w:trPr>
          <w:trHeight w:val="570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AMORTIZACIÓN DE LA DEUDA Y DISMINUCIÓN DE PASIVOS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PENSIONES Y JUBILACIONES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2,114,990,366.90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-1,918,687.60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2,113,071,679.30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1,568,853,750.40</w:t>
            </w: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  <w:bookmarkStart w:id="0" w:name="_GoBack"/>
      <w:bookmarkEnd w:id="0"/>
    </w:p>
    <w:sectPr w:rsidR="006E0360" w:rsidSect="00490BD8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8D851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C42A75" w:rsidRPr="00C42A75">
          <w:rPr>
            <w:rFonts w:ascii="Soberana Sans Light" w:hAnsi="Soberana Sans Light"/>
            <w:noProof/>
            <w:lang w:val="es-ES"/>
          </w:rPr>
          <w:t>148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D28DC1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C42A75" w:rsidRPr="00C42A75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1353B6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680BDC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2A75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460D9-A0B7-4402-B0EE-2169799C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2020-06-01T18:37:00Z</dcterms:created>
  <dcterms:modified xsi:type="dcterms:W3CDTF">2020-06-01T18:37:00Z</dcterms:modified>
</cp:coreProperties>
</file>